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38" w:rsidRDefault="005D15A0" w:rsidP="009E1A38">
      <w:pPr>
        <w:spacing w:after="240"/>
        <w:contextualSpacing/>
        <w:jc w:val="right"/>
        <w:rPr>
          <w:color w:val="000000" w:themeColor="text1"/>
          <w:sz w:val="20"/>
          <w:szCs w:val="20"/>
        </w:rPr>
      </w:pPr>
      <w:r w:rsidRPr="002204E5">
        <w:t xml:space="preserve"> </w:t>
      </w:r>
      <w:r w:rsidR="009E1A38">
        <w:rPr>
          <w:color w:val="000000" w:themeColor="text1"/>
          <w:sz w:val="20"/>
          <w:szCs w:val="20"/>
        </w:rPr>
        <w:t>ALLEGATO G)</w:t>
      </w:r>
    </w:p>
    <w:p w:rsidR="009E1A38" w:rsidRDefault="009E1A38" w:rsidP="009E1A38">
      <w:pPr>
        <w:spacing w:after="240"/>
        <w:contextualSpacing/>
        <w:rPr>
          <w:color w:val="000000" w:themeColor="text1"/>
          <w:sz w:val="20"/>
          <w:szCs w:val="20"/>
        </w:rPr>
      </w:pPr>
    </w:p>
    <w:p w:rsidR="009E1A38" w:rsidRDefault="009E1A38" w:rsidP="009E1A38">
      <w:pPr>
        <w:pStyle w:val="Intestazione"/>
        <w:spacing w:after="240"/>
        <w:ind w:left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Affidamento della gestione di due nuclei R.S.A. per un totale di 40 posti letto nonché della gestione  parziale di un nucleo R.A. di 20 posti letto,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per il prossimo biennio</w:t>
      </w:r>
    </w:p>
    <w:p w:rsidR="009E1A38" w:rsidRDefault="009E1A38" w:rsidP="009E1A38">
      <w:pPr>
        <w:pStyle w:val="Intestazione"/>
        <w:spacing w:after="240"/>
        <w:ind w:left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Procedura negoziata ex art. 63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dlgs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50/2016</w:t>
      </w:r>
    </w:p>
    <w:p w:rsidR="009E1A38" w:rsidRDefault="009E1A38" w:rsidP="009E1A38">
      <w:pPr>
        <w:pStyle w:val="Intestazione"/>
        <w:spacing w:after="240"/>
        <w:ind w:left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A38" w:rsidRDefault="009E1A38" w:rsidP="009E1A38">
      <w:pPr>
        <w:spacing w:before="1" w:after="240"/>
        <w:contextualSpacing/>
        <w:rPr>
          <w:color w:val="000000" w:themeColor="text1"/>
          <w:sz w:val="20"/>
          <w:szCs w:val="20"/>
        </w:rPr>
      </w:pPr>
    </w:p>
    <w:p w:rsidR="009E1A38" w:rsidRDefault="009E1A38" w:rsidP="009E1A38">
      <w:pPr>
        <w:autoSpaceDE w:val="0"/>
        <w:autoSpaceDN w:val="0"/>
        <w:adjustRightInd w:val="0"/>
        <w:spacing w:after="240"/>
        <w:ind w:left="6946" w:hanging="425"/>
        <w:contextualSpacing/>
        <w:rPr>
          <w:rFonts w:ascii="Times New Roman" w:hAnsi="Times New Roman"/>
          <w:color w:val="000000" w:themeColor="text1"/>
        </w:rPr>
      </w:pPr>
      <w:r>
        <w:rPr>
          <w:color w:val="000000" w:themeColor="text1"/>
        </w:rPr>
        <w:t>All’</w:t>
      </w:r>
      <w:r>
        <w:rPr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I.P.A.B. “OSPEDALE RICOVERO PASQUALE TOSO “  CANALE</w:t>
      </w:r>
    </w:p>
    <w:p w:rsidR="009E1A38" w:rsidRDefault="009E1A38" w:rsidP="009E1A38">
      <w:pPr>
        <w:autoSpaceDE w:val="0"/>
        <w:autoSpaceDN w:val="0"/>
        <w:adjustRightInd w:val="0"/>
        <w:spacing w:after="240"/>
        <w:ind w:left="6946" w:hanging="425"/>
        <w:contextualSpacing/>
        <w:rPr>
          <w:color w:val="000000" w:themeColor="text1"/>
          <w:sz w:val="22"/>
          <w:szCs w:val="22"/>
        </w:rPr>
      </w:pPr>
    </w:p>
    <w:p w:rsidR="009E1A38" w:rsidRDefault="009E1A38" w:rsidP="009E1A38">
      <w:pPr>
        <w:tabs>
          <w:tab w:val="left" w:pos="6946"/>
        </w:tabs>
        <w:autoSpaceDE w:val="0"/>
        <w:autoSpaceDN w:val="0"/>
        <w:adjustRightInd w:val="0"/>
        <w:spacing w:after="240"/>
        <w:ind w:left="6946" w:hanging="425"/>
        <w:contextualSpacing/>
        <w:rPr>
          <w:color w:val="000000" w:themeColor="text1"/>
        </w:rPr>
      </w:pPr>
      <w:r>
        <w:rPr>
          <w:color w:val="000000" w:themeColor="text1"/>
        </w:rPr>
        <w:tab/>
        <w:t>Via  S. Martino n. 3</w:t>
      </w:r>
    </w:p>
    <w:p w:rsidR="009E1A38" w:rsidRDefault="009E1A38" w:rsidP="009E1A38">
      <w:pPr>
        <w:autoSpaceDE w:val="0"/>
        <w:autoSpaceDN w:val="0"/>
        <w:adjustRightInd w:val="0"/>
        <w:spacing w:after="240"/>
        <w:ind w:left="6946"/>
        <w:contextualSpacing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12043 - CANALE (CN)</w:t>
      </w:r>
    </w:p>
    <w:p w:rsidR="009E1A38" w:rsidRDefault="009E1A38" w:rsidP="009E1A38">
      <w:pPr>
        <w:spacing w:after="240"/>
        <w:contextualSpacing/>
        <w:rPr>
          <w:color w:val="000000" w:themeColor="text1"/>
          <w:sz w:val="20"/>
          <w:szCs w:val="20"/>
        </w:rPr>
      </w:pPr>
    </w:p>
    <w:p w:rsidR="009E1A38" w:rsidRDefault="009E1A38" w:rsidP="009E1A38">
      <w:pPr>
        <w:spacing w:before="5" w:after="240"/>
        <w:contextualSpacing/>
        <w:rPr>
          <w:color w:val="000000" w:themeColor="text1"/>
          <w:sz w:val="18"/>
          <w:szCs w:val="18"/>
        </w:rPr>
      </w:pPr>
    </w:p>
    <w:p w:rsidR="009E1A38" w:rsidRDefault="009E1A38" w:rsidP="009E1A38">
      <w:pPr>
        <w:pStyle w:val="Titolo11"/>
        <w:spacing w:before="10" w:after="240"/>
        <w:ind w:left="0" w:right="50"/>
        <w:contextualSpacing/>
        <w:jc w:val="center"/>
        <w:rPr>
          <w:rFonts w:eastAsia="Gill Sans MT"/>
          <w:b/>
          <w:bCs/>
          <w:color w:val="000000" w:themeColor="text1"/>
          <w:sz w:val="24"/>
          <w:szCs w:val="24"/>
          <w:lang w:val="it-IT"/>
        </w:rPr>
      </w:pPr>
      <w:r>
        <w:rPr>
          <w:rFonts w:eastAsia="Gill Sans MT"/>
          <w:b/>
          <w:bCs/>
          <w:color w:val="000000" w:themeColor="text1"/>
          <w:sz w:val="24"/>
          <w:szCs w:val="24"/>
          <w:lang w:val="it-IT"/>
        </w:rPr>
        <w:t>Dichiarazione di conformità a standard sociali minimi (D.M. 06.06.2012)</w:t>
      </w:r>
    </w:p>
    <w:p w:rsidR="009E1A38" w:rsidRDefault="009E1A38" w:rsidP="009E1A38">
      <w:pPr>
        <w:pStyle w:val="Titolo11"/>
        <w:spacing w:before="10" w:after="240"/>
        <w:ind w:left="0" w:right="50"/>
        <w:contextualSpacing/>
        <w:jc w:val="center"/>
        <w:rPr>
          <w:rFonts w:eastAsia="Gill Sans MT"/>
          <w:b/>
          <w:bCs/>
          <w:color w:val="000000" w:themeColor="text1"/>
          <w:sz w:val="24"/>
          <w:szCs w:val="24"/>
          <w:lang w:val="it-IT"/>
        </w:rPr>
      </w:pPr>
      <w:r>
        <w:rPr>
          <w:rFonts w:eastAsia="Gill Sans MT"/>
          <w:b/>
          <w:bCs/>
          <w:color w:val="000000" w:themeColor="text1"/>
          <w:sz w:val="24"/>
          <w:szCs w:val="24"/>
          <w:lang w:val="it-IT"/>
        </w:rPr>
        <w:t xml:space="preserve">resa ai sensi degli artt. 46 e 47 del D.P.R. n. 445/2000 </w:t>
      </w:r>
      <w:proofErr w:type="spellStart"/>
      <w:r>
        <w:rPr>
          <w:rFonts w:eastAsia="Gill Sans MT"/>
          <w:b/>
          <w:bCs/>
          <w:color w:val="000000" w:themeColor="text1"/>
          <w:sz w:val="24"/>
          <w:szCs w:val="24"/>
          <w:lang w:val="it-IT"/>
        </w:rPr>
        <w:t>s.m.i.</w:t>
      </w:r>
      <w:proofErr w:type="spellEnd"/>
    </w:p>
    <w:p w:rsidR="009E1A38" w:rsidRDefault="009E1A38" w:rsidP="009E1A38">
      <w:pPr>
        <w:spacing w:after="240"/>
        <w:contextualSpacing/>
        <w:jc w:val="both"/>
        <w:rPr>
          <w:rFonts w:ascii="Times New Roman" w:eastAsia="Gill Sans MT" w:hAnsi="Times New Roman"/>
          <w:color w:val="000000" w:themeColor="text1"/>
        </w:rPr>
      </w:pPr>
      <w:r>
        <w:rPr>
          <w:rFonts w:ascii="Times New Roman" w:eastAsia="Gill Sans MT" w:hAnsi="Times New Roman"/>
          <w:color w:val="000000" w:themeColor="text1"/>
        </w:rPr>
        <w:t>Il/La sottoscritto/a ________________________ (nome) _________________________ (cognome)</w:t>
      </w:r>
    </w:p>
    <w:p w:rsidR="009E1A38" w:rsidRDefault="009E1A38" w:rsidP="009E1A38">
      <w:pPr>
        <w:spacing w:after="240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eastAsia="Gill Sans MT" w:hAnsi="Times New Roman"/>
          <w:color w:val="000000" w:themeColor="text1"/>
        </w:rPr>
        <w:t>in qualità di ___________________________________ (titolare, legale rappresentante, procuratore) dell’impresa   __________________________________________ (denominazione e ragione sociale)</w:t>
      </w:r>
      <w:r>
        <w:rPr>
          <w:rFonts w:ascii="Times New Roman" w:hAnsi="Times New Roman"/>
          <w:color w:val="000000" w:themeColor="text1"/>
        </w:rPr>
        <w:t>con sede in_____________________________________________________________________</w:t>
      </w:r>
    </w:p>
    <w:p w:rsidR="009E1A38" w:rsidRDefault="009E1A38" w:rsidP="009E1A38">
      <w:pPr>
        <w:spacing w:before="7" w:after="240"/>
        <w:contextualSpacing/>
        <w:rPr>
          <w:rFonts w:ascii="Times New Roman" w:hAnsi="Times New Roman"/>
          <w:color w:val="000000" w:themeColor="text1"/>
        </w:rPr>
      </w:pPr>
    </w:p>
    <w:p w:rsidR="009E1A38" w:rsidRDefault="009E1A38" w:rsidP="009E1A38">
      <w:pPr>
        <w:pStyle w:val="Corpotesto"/>
        <w:spacing w:after="240"/>
        <w:ind w:right="65"/>
        <w:contextualSpacing/>
        <w:jc w:val="center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DICHIARA:</w:t>
      </w:r>
    </w:p>
    <w:p w:rsidR="009E1A38" w:rsidRDefault="009E1A38" w:rsidP="009E1A38">
      <w:pPr>
        <w:pStyle w:val="Corpotesto"/>
        <w:spacing w:after="240"/>
        <w:ind w:right="96"/>
        <w:contextualSpacing/>
        <w:rPr>
          <w:rFonts w:eastAsiaTheme="minorHAnsi"/>
          <w:color w:val="000000" w:themeColor="text1"/>
          <w:szCs w:val="24"/>
        </w:rPr>
      </w:pPr>
    </w:p>
    <w:p w:rsidR="009E1A38" w:rsidRDefault="009E1A38" w:rsidP="009E1A38">
      <w:pPr>
        <w:pStyle w:val="Corpotesto"/>
        <w:spacing w:after="240"/>
        <w:ind w:right="96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 xml:space="preserve">che i </w:t>
      </w:r>
      <w:r>
        <w:rPr>
          <w:rFonts w:eastAsiaTheme="minorHAnsi"/>
          <w:color w:val="000000" w:themeColor="text1"/>
          <w:szCs w:val="24"/>
        </w:rPr>
        <w:t>servizi</w:t>
      </w:r>
      <w:bookmarkStart w:id="0" w:name="_GoBack"/>
      <w:bookmarkEnd w:id="0"/>
      <w:r>
        <w:rPr>
          <w:rFonts w:eastAsiaTheme="minorHAnsi"/>
          <w:color w:val="000000" w:themeColor="text1"/>
          <w:szCs w:val="24"/>
        </w:rPr>
        <w:t xml:space="preserve"> oggetto del presente appalto sono prodotti in conformità con gli standard sociali minimi in materia di diritti umani e di condizioni di lavoro lungo la catena di fornitura (da ora in poi “standard”) definiti da: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djustRightInd/>
        <w:spacing w:after="240"/>
        <w:ind w:left="425" w:hanging="357"/>
        <w:contextualSpacing/>
        <w:jc w:val="left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 xml:space="preserve">le otto Convenzioni fondamentali dell’Organizzazione Internazionale del Lavoro (OIL, International </w:t>
      </w:r>
      <w:proofErr w:type="spellStart"/>
      <w:r>
        <w:rPr>
          <w:rFonts w:eastAsiaTheme="minorHAnsi"/>
          <w:color w:val="000000" w:themeColor="text1"/>
          <w:szCs w:val="24"/>
        </w:rPr>
        <w:t>Labour</w:t>
      </w:r>
      <w:proofErr w:type="spellEnd"/>
      <w:r>
        <w:rPr>
          <w:rFonts w:eastAsiaTheme="minorHAnsi"/>
          <w:color w:val="000000" w:themeColor="text1"/>
          <w:szCs w:val="24"/>
        </w:rPr>
        <w:t xml:space="preserve"> Organization – ILO), ossia, le Convenzioni n. 29, 87, 98, 100, 105, 111 e 182;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djustRightInd/>
        <w:spacing w:after="240"/>
        <w:ind w:left="425" w:hanging="357"/>
        <w:contextualSpacing/>
        <w:jc w:val="left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la Convenzione ILO n. 155 sulla salute e sicurezza nei luoghi di lavoro;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djustRightInd/>
        <w:spacing w:after="240"/>
        <w:ind w:left="425" w:hanging="357"/>
        <w:contextualSpacing/>
        <w:jc w:val="left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la Convenzione ILO n. 131 sulla definizione di salario minimo;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djustRightInd/>
        <w:spacing w:after="240"/>
        <w:ind w:left="425" w:hanging="357"/>
        <w:contextualSpacing/>
        <w:jc w:val="left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la Convenzione ILO n. 1 sulla durata del lavoro (industria);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djustRightInd/>
        <w:spacing w:after="240"/>
        <w:ind w:left="425" w:hanging="357"/>
        <w:contextualSpacing/>
        <w:jc w:val="left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la Convenzione ILO n. 102 sulla sicurezza sociale (norma minima);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djustRightInd/>
        <w:spacing w:after="240"/>
        <w:ind w:left="425" w:hanging="357"/>
        <w:contextualSpacing/>
        <w:jc w:val="left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la “Dichiarazione Universale dei Diritti Umani” (</w:t>
      </w:r>
      <w:r>
        <w:rPr>
          <w:rFonts w:eastAsiaTheme="minorHAnsi"/>
          <w:i/>
          <w:color w:val="000000" w:themeColor="text1"/>
          <w:szCs w:val="24"/>
        </w:rPr>
        <w:t xml:space="preserve">Approvata </w:t>
      </w:r>
      <w:proofErr w:type="spellStart"/>
      <w:r>
        <w:rPr>
          <w:rFonts w:eastAsiaTheme="minorHAnsi"/>
          <w:i/>
          <w:color w:val="000000" w:themeColor="text1"/>
          <w:szCs w:val="24"/>
        </w:rPr>
        <w:t>dall'Ass</w:t>
      </w:r>
      <w:proofErr w:type="spellEnd"/>
      <w:r>
        <w:rPr>
          <w:rFonts w:eastAsiaTheme="minorHAnsi"/>
          <w:i/>
          <w:color w:val="000000" w:themeColor="text1"/>
          <w:szCs w:val="24"/>
        </w:rPr>
        <w:t>. Gen. delle Nazioni Unite il 10.12.1948</w:t>
      </w:r>
      <w:r>
        <w:rPr>
          <w:rFonts w:eastAsiaTheme="minorHAnsi"/>
          <w:color w:val="000000" w:themeColor="text1"/>
          <w:szCs w:val="24"/>
        </w:rPr>
        <w:t>);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djustRightInd/>
        <w:spacing w:after="240"/>
        <w:ind w:left="425" w:hanging="357"/>
        <w:contextualSpacing/>
        <w:jc w:val="left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art. n. 32 della “Convenzione sui Diritti del Fanciullo” (</w:t>
      </w:r>
      <w:r>
        <w:rPr>
          <w:rFonts w:eastAsiaTheme="minorHAnsi"/>
          <w:i/>
          <w:color w:val="000000" w:themeColor="text1"/>
          <w:szCs w:val="24"/>
        </w:rPr>
        <w:t xml:space="preserve">Approvata </w:t>
      </w:r>
      <w:proofErr w:type="spellStart"/>
      <w:r>
        <w:rPr>
          <w:rFonts w:eastAsiaTheme="minorHAnsi"/>
          <w:i/>
          <w:color w:val="000000" w:themeColor="text1"/>
          <w:szCs w:val="24"/>
        </w:rPr>
        <w:t>dall'Ass</w:t>
      </w:r>
      <w:proofErr w:type="spellEnd"/>
      <w:r>
        <w:rPr>
          <w:rFonts w:eastAsiaTheme="minorHAnsi"/>
          <w:i/>
          <w:color w:val="000000" w:themeColor="text1"/>
          <w:szCs w:val="24"/>
        </w:rPr>
        <w:t xml:space="preserve">. Gen. delle Nazioni Unite il 20.11.1989, ratificata in Italia con Legge del 27 maggio 1991, n. 176 “Ratifica ed esecuzione della Convenzione sui Diritti del Fanciullo, fatta a </w:t>
      </w:r>
      <w:proofErr w:type="spellStart"/>
      <w:r>
        <w:rPr>
          <w:rFonts w:eastAsiaTheme="minorHAnsi"/>
          <w:i/>
          <w:color w:val="000000" w:themeColor="text1"/>
          <w:szCs w:val="24"/>
        </w:rPr>
        <w:t>NewYork</w:t>
      </w:r>
      <w:proofErr w:type="spellEnd"/>
      <w:r>
        <w:rPr>
          <w:rFonts w:eastAsiaTheme="minorHAnsi"/>
          <w:i/>
          <w:color w:val="000000" w:themeColor="text1"/>
          <w:szCs w:val="24"/>
        </w:rPr>
        <w:t xml:space="preserve"> il 20.11.1989”</w:t>
      </w:r>
      <w:r>
        <w:rPr>
          <w:rFonts w:eastAsiaTheme="minorHAnsi"/>
          <w:color w:val="000000" w:themeColor="text1"/>
          <w:szCs w:val="24"/>
        </w:rPr>
        <w:t>);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tabs>
          <w:tab w:val="left" w:pos="426"/>
        </w:tabs>
        <w:overflowPunct/>
        <w:autoSpaceDE/>
        <w:adjustRightInd/>
        <w:spacing w:after="240"/>
        <w:ind w:left="425" w:right="94" w:hanging="357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la legislazione nazionale, vigente nei Paesi ove si svolgono le fasi della catena di fornitura, riguardanti la salute e la sicurezza nei luoghi di lavoro, nonché le legislazione relativa al lavoro, inclusa quella relativa al salario, all'orario di lavoro e alla sicurezza sociale (previdenza e assistenza).</w:t>
      </w:r>
    </w:p>
    <w:p w:rsidR="009E1A38" w:rsidRDefault="009E1A38" w:rsidP="009E1A38">
      <w:pPr>
        <w:spacing w:before="5" w:after="240"/>
        <w:contextualSpacing/>
        <w:rPr>
          <w:rFonts w:ascii="Times New Roman" w:hAnsi="Times New Roman"/>
          <w:color w:val="000000" w:themeColor="text1"/>
        </w:rPr>
      </w:pPr>
    </w:p>
    <w:p w:rsidR="009E1A38" w:rsidRDefault="009E1A38" w:rsidP="009E1A38">
      <w:pPr>
        <w:pStyle w:val="Corpotesto"/>
        <w:spacing w:after="240"/>
        <w:ind w:right="96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Quando le leggi nazionali e gli standard sopra richiamati fanno riferimento alla stessa materia, sarà garantita la conformità allo standard più elevato.</w:t>
      </w: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eastAsiaTheme="minorHAnsi"/>
          <w:i/>
          <w:color w:val="000000" w:themeColor="text1"/>
          <w:szCs w:val="24"/>
        </w:rPr>
      </w:pP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eastAsiaTheme="minorHAnsi"/>
          <w:i/>
          <w:color w:val="000000" w:themeColor="text1"/>
          <w:szCs w:val="24"/>
        </w:rPr>
      </w:pPr>
      <w:r>
        <w:rPr>
          <w:rFonts w:eastAsiaTheme="minorHAnsi"/>
          <w:i/>
          <w:color w:val="000000" w:themeColor="text1"/>
          <w:szCs w:val="24"/>
        </w:rPr>
        <w:t>Convenzioni fondamentali dell’ILO:</w:t>
      </w: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eastAsiaTheme="minorHAnsi"/>
          <w:i/>
          <w:color w:val="000000" w:themeColor="text1"/>
          <w:szCs w:val="24"/>
        </w:rPr>
      </w:pPr>
      <w:r>
        <w:rPr>
          <w:rFonts w:eastAsiaTheme="minorHAnsi"/>
          <w:i/>
          <w:color w:val="000000" w:themeColor="text1"/>
          <w:szCs w:val="24"/>
        </w:rPr>
        <w:t>Lavoro minorile (art. 32 della Convenzione ONU sui Diritti del Fanciullo; Convenzione ILO sull' età minima n° 138; Convenzione ILO sulle forme peggiori di lavoro minorile n° 182)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overflowPunct/>
        <w:autoSpaceDE/>
        <w:adjustRightInd/>
        <w:spacing w:after="240"/>
        <w:ind w:left="567" w:hanging="283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I bambini hanno il diritto di essere protetti contro lo sfruttamento economico nel lavoro e contro l'esecuzione di lavori che possono compromettere le loro opportunità di sviluppo ed educazione.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overflowPunct/>
        <w:autoSpaceDE/>
        <w:adjustRightInd/>
        <w:spacing w:after="240"/>
        <w:ind w:left="567" w:hanging="283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L'età minima di assunzione all'impiego o al lavoro deve essere in ogni caso non inferiore ai 15 anni (temporaneamente, 14 in alcuni Paesi).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overflowPunct/>
        <w:autoSpaceDE/>
        <w:adjustRightInd/>
        <w:spacing w:after="240"/>
        <w:ind w:left="567" w:hanging="283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I minori di 18 anni non possono assumere alcun tipo di impiego o lavoro che possa comprometterne la salute, la sicurezza o la moralità.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overflowPunct/>
        <w:autoSpaceDE/>
        <w:adjustRightInd/>
        <w:spacing w:after="240"/>
        <w:ind w:left="567" w:hanging="283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Nei casi di pratica di lavoro minorile, opportuni rimedi devono essere adottati rapidamente.  Contemporaneamente, deve essere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overflowPunct/>
        <w:autoSpaceDE/>
        <w:adjustRightInd/>
        <w:spacing w:after="240"/>
        <w:ind w:left="567" w:hanging="283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messo in atto un sistema che consenta ai bambini di perseguire il loro percorso scolastico fino al termine della scuola dell'obbligo.</w:t>
      </w: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eastAsiaTheme="minorHAnsi"/>
          <w:i/>
          <w:color w:val="000000" w:themeColor="text1"/>
          <w:szCs w:val="24"/>
        </w:rPr>
      </w:pP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eastAsiaTheme="minorHAnsi"/>
          <w:i/>
          <w:color w:val="000000" w:themeColor="text1"/>
          <w:szCs w:val="24"/>
        </w:rPr>
      </w:pPr>
      <w:r>
        <w:rPr>
          <w:rFonts w:eastAsiaTheme="minorHAnsi"/>
          <w:i/>
          <w:color w:val="000000" w:themeColor="text1"/>
          <w:szCs w:val="24"/>
        </w:rPr>
        <w:t>Lavoro forzato/schiavitù (Convenzione ILO sul lavoro forzato n° 29 e Convenzione ILO sull'abolizione del lavoro forzato n° 105)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overflowPunct/>
        <w:autoSpaceDE/>
        <w:adjustRightInd/>
        <w:spacing w:after="240"/>
        <w:ind w:left="567" w:hanging="283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E'  proibito qualunque tipo di  lavoro forzato,  ottenuto sotto minaccia  di  una  punizione e non offerto dalla  persona spontaneamente.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overflowPunct/>
        <w:autoSpaceDE/>
        <w:adjustRightInd/>
        <w:spacing w:after="240"/>
        <w:ind w:left="567" w:hanging="283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Ai lavoratori non può essere richiesto, ad esempio, di pagare un deposito o di cedere i propri documenti di identità al datore di lavoro. I lavoratori devono inoltre essere liberi di cessare il proprio rapporto di lavoro con ragionevole preavviso.</w:t>
      </w: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eastAsiaTheme="minorHAnsi"/>
          <w:i/>
          <w:color w:val="000000" w:themeColor="text1"/>
          <w:szCs w:val="24"/>
        </w:rPr>
      </w:pP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eastAsiaTheme="minorHAnsi"/>
          <w:i/>
          <w:color w:val="000000" w:themeColor="text1"/>
          <w:szCs w:val="24"/>
        </w:rPr>
      </w:pPr>
      <w:r>
        <w:rPr>
          <w:rFonts w:eastAsiaTheme="minorHAnsi"/>
          <w:i/>
          <w:color w:val="000000" w:themeColor="text1"/>
          <w:szCs w:val="24"/>
        </w:rPr>
        <w:t>Discriminazione (Convenzione ILO sull'uguaglianza di retribuzione n° 100 e Convenzione ILO sulla discriminazione (impiego e professione) n° 111)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overflowPunct/>
        <w:autoSpaceDE/>
        <w:adjustRightInd/>
        <w:spacing w:after="240"/>
        <w:ind w:left="567" w:hanging="283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Nessuna forma di discriminazione in materia di impiego e professione è consentita sulla base della razza, del colore, della discendenza nazionale, del sesso, della religione, dell'opinione politica, dell'origine sociale, dell'età, della disabilità, dello stato di salute, dell'orientamento sessuale e dell'appartenenza sindacale.</w:t>
      </w: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eastAsiaTheme="minorHAnsi"/>
          <w:i/>
          <w:color w:val="000000" w:themeColor="text1"/>
          <w:szCs w:val="24"/>
        </w:rPr>
      </w:pP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eastAsiaTheme="minorHAnsi"/>
          <w:i/>
          <w:color w:val="000000" w:themeColor="text1"/>
          <w:szCs w:val="24"/>
        </w:rPr>
      </w:pPr>
      <w:r>
        <w:rPr>
          <w:rFonts w:eastAsiaTheme="minorHAnsi"/>
          <w:i/>
          <w:color w:val="000000" w:themeColor="text1"/>
          <w:szCs w:val="24"/>
        </w:rPr>
        <w:t>Libertà sindacale e diritto di negoziazione collettiva (Convenzione ILO  sulla libertà sindacale e la protezione del diritto sindacale n° 87 e Convenzione ILO sul diritto di organizzazione e di negoziazione collettiva n° 98)</w:t>
      </w:r>
    </w:p>
    <w:p w:rsidR="009E1A38" w:rsidRDefault="009E1A38" w:rsidP="009E1A38">
      <w:pPr>
        <w:pStyle w:val="Corpotesto"/>
        <w:widowControl w:val="0"/>
        <w:numPr>
          <w:ilvl w:val="0"/>
          <w:numId w:val="9"/>
        </w:numPr>
        <w:overflowPunct/>
        <w:autoSpaceDE/>
        <w:adjustRightInd/>
        <w:spacing w:after="240"/>
        <w:ind w:left="567" w:hanging="283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I lavoratori hanno il diritto, senza alcuna distinzione e senza autorizzazione preventiva, di costituire delle organizzazioni di loro scelta, nonché di divenirne membri e di ricorrere alla negoziazione collettiva.</w:t>
      </w: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eastAsiaTheme="minorHAnsi"/>
          <w:i/>
          <w:color w:val="000000" w:themeColor="text1"/>
          <w:szCs w:val="24"/>
        </w:rPr>
      </w:pP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Data _________________</w:t>
      </w:r>
    </w:p>
    <w:p w:rsidR="009E1A38" w:rsidRDefault="009E1A38" w:rsidP="009E1A38">
      <w:pPr>
        <w:pStyle w:val="Corpotesto"/>
        <w:spacing w:after="240"/>
        <w:ind w:left="284" w:right="96"/>
        <w:contextualSpacing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:rsidR="009E1A38" w:rsidRDefault="009E1A38" w:rsidP="009E1A38">
      <w:pPr>
        <w:pStyle w:val="Corpotesto"/>
        <w:spacing w:after="240"/>
        <w:ind w:left="5232"/>
        <w:contextualSpacing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 xml:space="preserve">                  </w:t>
      </w:r>
      <w:r>
        <w:rPr>
          <w:rFonts w:asciiTheme="minorHAnsi" w:hAnsiTheme="minorHAnsi" w:cstheme="minorHAnsi"/>
          <w:color w:val="000000" w:themeColor="text1"/>
          <w:sz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</w:rPr>
        <w:tab/>
      </w:r>
    </w:p>
    <w:p w:rsidR="009E1A38" w:rsidRDefault="009E1A38" w:rsidP="009E1A38">
      <w:pPr>
        <w:pStyle w:val="Corpotesto"/>
        <w:spacing w:after="240"/>
        <w:ind w:left="6804"/>
        <w:contextualSpacing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>Timbro e Fi</w:t>
      </w:r>
      <w:r>
        <w:rPr>
          <w:rFonts w:asciiTheme="minorHAnsi" w:hAnsiTheme="minorHAnsi" w:cstheme="minorHAnsi"/>
          <w:color w:val="000000" w:themeColor="text1"/>
          <w:spacing w:val="1"/>
          <w:sz w:val="20"/>
        </w:rPr>
        <w:t>r</w:t>
      </w:r>
      <w:r>
        <w:rPr>
          <w:rFonts w:asciiTheme="minorHAnsi" w:hAnsiTheme="minorHAnsi" w:cstheme="minorHAnsi"/>
          <w:color w:val="000000" w:themeColor="text1"/>
          <w:sz w:val="20"/>
        </w:rPr>
        <w:t>ma</w:t>
      </w:r>
    </w:p>
    <w:p w:rsidR="009E1A38" w:rsidRDefault="009E1A38" w:rsidP="009E1A38">
      <w:pPr>
        <w:pStyle w:val="Corpotesto"/>
        <w:spacing w:after="240"/>
        <w:ind w:left="1632"/>
        <w:contextualSpacing/>
        <w:rPr>
          <w:rFonts w:asciiTheme="minorHAnsi" w:hAnsiTheme="minorHAnsi" w:cstheme="minorHAnsi"/>
          <w:color w:val="000000" w:themeColor="text1"/>
          <w:sz w:val="20"/>
        </w:rPr>
      </w:pPr>
    </w:p>
    <w:p w:rsidR="009E1A38" w:rsidRDefault="009E1A38" w:rsidP="009E1A38">
      <w:pPr>
        <w:pStyle w:val="Corpotesto"/>
        <w:spacing w:after="240"/>
        <w:ind w:left="1985"/>
        <w:contextualSpacing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</w:rPr>
        <w:tab/>
        <w:t>__________________________________</w:t>
      </w:r>
    </w:p>
    <w:p w:rsidR="005D15A0" w:rsidRPr="002204E5" w:rsidRDefault="005D15A0" w:rsidP="002204E5"/>
    <w:sectPr w:rsidR="005D15A0" w:rsidRPr="002204E5" w:rsidSect="008764D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09" w:rsidRDefault="007B4E09" w:rsidP="00701490">
      <w:r>
        <w:separator/>
      </w:r>
    </w:p>
  </w:endnote>
  <w:endnote w:type="continuationSeparator" w:id="0">
    <w:p w:rsidR="007B4E09" w:rsidRDefault="007B4E09" w:rsidP="0070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90" w:rsidRPr="006330CB" w:rsidRDefault="00701490" w:rsidP="006330CB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01490">
      <w:rPr>
        <w:rFonts w:asciiTheme="majorHAnsi" w:hAnsiTheme="majorHAnsi"/>
        <w:sz w:val="20"/>
        <w:szCs w:val="20"/>
      </w:rPr>
      <w:t>VIA  SAN MARTINO 3</w:t>
    </w:r>
    <w:r w:rsidR="00B718A0">
      <w:rPr>
        <w:rFonts w:asciiTheme="majorHAnsi" w:hAnsiTheme="majorHAnsi"/>
        <w:sz w:val="20"/>
        <w:szCs w:val="20"/>
      </w:rPr>
      <w:t>/c</w:t>
    </w:r>
    <w:r w:rsidRPr="00701490">
      <w:rPr>
        <w:rFonts w:asciiTheme="majorHAnsi" w:hAnsiTheme="majorHAnsi"/>
        <w:sz w:val="20"/>
        <w:szCs w:val="20"/>
      </w:rPr>
      <w:t xml:space="preserve">  - 12043 CANALE (CN)</w:t>
    </w:r>
    <w:r>
      <w:rPr>
        <w:rFonts w:asciiTheme="majorHAnsi" w:hAnsiTheme="majorHAnsi"/>
      </w:rPr>
      <w:t xml:space="preserve"> </w:t>
    </w:r>
    <w:r w:rsidR="006330CB">
      <w:rPr>
        <w:rFonts w:asciiTheme="majorHAnsi" w:hAnsiTheme="majorHAnsi"/>
      </w:rPr>
      <w:t xml:space="preserve">                                                     </w:t>
    </w:r>
    <w:r w:rsidR="00B718A0">
      <w:t>tel. 0173-95690  fax 0173-970763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09" w:rsidRDefault="007B4E09" w:rsidP="00701490">
      <w:r>
        <w:separator/>
      </w:r>
    </w:p>
  </w:footnote>
  <w:footnote w:type="continuationSeparator" w:id="0">
    <w:p w:rsidR="007B4E09" w:rsidRDefault="007B4E09" w:rsidP="0070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2DB0D971813F4E49BF64EAE38D7629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1490" w:rsidRDefault="00701490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OSPEDALE RICOVERO “P.TOSO” - CANALE</w:t>
        </w:r>
      </w:p>
    </w:sdtContent>
  </w:sdt>
  <w:p w:rsidR="00701490" w:rsidRDefault="007014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E4A"/>
    <w:multiLevelType w:val="hybridMultilevel"/>
    <w:tmpl w:val="F4202B0E"/>
    <w:lvl w:ilvl="0" w:tplc="7230028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344D33A3"/>
    <w:multiLevelType w:val="hybridMultilevel"/>
    <w:tmpl w:val="3CF857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D67E3"/>
    <w:multiLevelType w:val="hybridMultilevel"/>
    <w:tmpl w:val="AF5CDE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60B3A"/>
    <w:multiLevelType w:val="hybridMultilevel"/>
    <w:tmpl w:val="C3947C86"/>
    <w:lvl w:ilvl="0" w:tplc="FD241470">
      <w:start w:val="3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>
      <w:start w:val="1"/>
      <w:numFmt w:val="lowerRoman"/>
      <w:lvlText w:val="%3."/>
      <w:lvlJc w:val="right"/>
      <w:pPr>
        <w:ind w:left="3960" w:hanging="180"/>
      </w:pPr>
    </w:lvl>
    <w:lvl w:ilvl="3" w:tplc="0410000F">
      <w:start w:val="1"/>
      <w:numFmt w:val="decimal"/>
      <w:lvlText w:val="%4."/>
      <w:lvlJc w:val="left"/>
      <w:pPr>
        <w:ind w:left="4680" w:hanging="360"/>
      </w:pPr>
    </w:lvl>
    <w:lvl w:ilvl="4" w:tplc="04100019">
      <w:start w:val="1"/>
      <w:numFmt w:val="lowerLetter"/>
      <w:lvlText w:val="%5."/>
      <w:lvlJc w:val="left"/>
      <w:pPr>
        <w:ind w:left="5400" w:hanging="360"/>
      </w:pPr>
    </w:lvl>
    <w:lvl w:ilvl="5" w:tplc="0410001B">
      <w:start w:val="1"/>
      <w:numFmt w:val="lowerRoman"/>
      <w:lvlText w:val="%6."/>
      <w:lvlJc w:val="right"/>
      <w:pPr>
        <w:ind w:left="6120" w:hanging="180"/>
      </w:pPr>
    </w:lvl>
    <w:lvl w:ilvl="6" w:tplc="0410000F">
      <w:start w:val="1"/>
      <w:numFmt w:val="decimal"/>
      <w:lvlText w:val="%7."/>
      <w:lvlJc w:val="left"/>
      <w:pPr>
        <w:ind w:left="6840" w:hanging="360"/>
      </w:pPr>
    </w:lvl>
    <w:lvl w:ilvl="7" w:tplc="04100019">
      <w:start w:val="1"/>
      <w:numFmt w:val="lowerLetter"/>
      <w:lvlText w:val="%8."/>
      <w:lvlJc w:val="left"/>
      <w:pPr>
        <w:ind w:left="7560" w:hanging="360"/>
      </w:pPr>
    </w:lvl>
    <w:lvl w:ilvl="8" w:tplc="0410001B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C91118E"/>
    <w:multiLevelType w:val="hybridMultilevel"/>
    <w:tmpl w:val="FE16449A"/>
    <w:lvl w:ilvl="0" w:tplc="00AE5E1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6360E"/>
    <w:multiLevelType w:val="hybridMultilevel"/>
    <w:tmpl w:val="9BEAD6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F722A"/>
    <w:multiLevelType w:val="hybridMultilevel"/>
    <w:tmpl w:val="1D989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1331E"/>
    <w:multiLevelType w:val="hybridMultilevel"/>
    <w:tmpl w:val="7ECCB7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14743F"/>
    <w:multiLevelType w:val="hybridMultilevel"/>
    <w:tmpl w:val="B5DAE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90"/>
    <w:rsid w:val="0001248E"/>
    <w:rsid w:val="00096F90"/>
    <w:rsid w:val="000A3358"/>
    <w:rsid w:val="000A585F"/>
    <w:rsid w:val="001A136E"/>
    <w:rsid w:val="001C1726"/>
    <w:rsid w:val="002204E5"/>
    <w:rsid w:val="0028491D"/>
    <w:rsid w:val="002A0C67"/>
    <w:rsid w:val="002B23F7"/>
    <w:rsid w:val="0030763C"/>
    <w:rsid w:val="003F78A4"/>
    <w:rsid w:val="00445957"/>
    <w:rsid w:val="00460008"/>
    <w:rsid w:val="00462E89"/>
    <w:rsid w:val="00481E46"/>
    <w:rsid w:val="00511584"/>
    <w:rsid w:val="00586D04"/>
    <w:rsid w:val="005940E0"/>
    <w:rsid w:val="005B4C6D"/>
    <w:rsid w:val="005D15A0"/>
    <w:rsid w:val="006330CB"/>
    <w:rsid w:val="0067324E"/>
    <w:rsid w:val="00701490"/>
    <w:rsid w:val="00727246"/>
    <w:rsid w:val="007336C9"/>
    <w:rsid w:val="007B4E09"/>
    <w:rsid w:val="007E33A0"/>
    <w:rsid w:val="0081778C"/>
    <w:rsid w:val="008740E5"/>
    <w:rsid w:val="008764D6"/>
    <w:rsid w:val="00974D13"/>
    <w:rsid w:val="009E1A38"/>
    <w:rsid w:val="009F057F"/>
    <w:rsid w:val="00A05165"/>
    <w:rsid w:val="00AB4394"/>
    <w:rsid w:val="00AF7FBA"/>
    <w:rsid w:val="00B718A0"/>
    <w:rsid w:val="00C50674"/>
    <w:rsid w:val="00C61D56"/>
    <w:rsid w:val="00C72A60"/>
    <w:rsid w:val="00CC6EF4"/>
    <w:rsid w:val="00D04C32"/>
    <w:rsid w:val="00D23FC3"/>
    <w:rsid w:val="00D90209"/>
    <w:rsid w:val="00E60941"/>
    <w:rsid w:val="00E66FE6"/>
    <w:rsid w:val="00F72B9B"/>
    <w:rsid w:val="00FD5BAB"/>
    <w:rsid w:val="00FD5EE4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A3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49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01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1490"/>
  </w:style>
  <w:style w:type="paragraph" w:styleId="Pidipagina">
    <w:name w:val="footer"/>
    <w:basedOn w:val="Normale"/>
    <w:link w:val="PidipaginaCarattere"/>
    <w:uiPriority w:val="99"/>
    <w:unhideWhenUsed/>
    <w:rsid w:val="007014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4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9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718A0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unhideWhenUsed/>
    <w:rsid w:val="009E1A38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1A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9E1A38"/>
    <w:pPr>
      <w:widowControl w:val="0"/>
      <w:ind w:left="873"/>
      <w:outlineLvl w:val="1"/>
    </w:pPr>
    <w:rPr>
      <w:rFonts w:ascii="Times New Roman" w:eastAsia="Times New Roman" w:hAnsi="Times New Roman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A3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49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01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1490"/>
  </w:style>
  <w:style w:type="paragraph" w:styleId="Pidipagina">
    <w:name w:val="footer"/>
    <w:basedOn w:val="Normale"/>
    <w:link w:val="PidipaginaCarattere"/>
    <w:uiPriority w:val="99"/>
    <w:unhideWhenUsed/>
    <w:rsid w:val="007014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4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9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718A0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unhideWhenUsed/>
    <w:rsid w:val="009E1A38"/>
    <w:pPr>
      <w:tabs>
        <w:tab w:val="left" w:pos="567"/>
      </w:tabs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1A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9E1A38"/>
    <w:pPr>
      <w:widowControl w:val="0"/>
      <w:ind w:left="873"/>
      <w:outlineLvl w:val="1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B0D971813F4E49BF64EAE38D7629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7A7904-2EFF-4673-B645-92C27DA34CCC}"/>
      </w:docPartPr>
      <w:docPartBody>
        <w:p w:rsidR="00A74798" w:rsidRDefault="00A255D1" w:rsidP="00A255D1">
          <w:pPr>
            <w:pStyle w:val="2DB0D971813F4E49BF64EAE38D7629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255D1"/>
    <w:rsid w:val="001153D6"/>
    <w:rsid w:val="002A7851"/>
    <w:rsid w:val="0062066B"/>
    <w:rsid w:val="007F15FD"/>
    <w:rsid w:val="00873EC9"/>
    <w:rsid w:val="00902858"/>
    <w:rsid w:val="00A10FA9"/>
    <w:rsid w:val="00A255D1"/>
    <w:rsid w:val="00A74798"/>
    <w:rsid w:val="00B114B8"/>
    <w:rsid w:val="00EA46E7"/>
    <w:rsid w:val="00F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7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DB0D971813F4E49BF64EAE38D76298E">
    <w:name w:val="2DB0D971813F4E49BF64EAE38D76298E"/>
    <w:rsid w:val="00A255D1"/>
  </w:style>
  <w:style w:type="paragraph" w:customStyle="1" w:styleId="8485C3EC59884D74862DE2B544DF1993">
    <w:name w:val="8485C3EC59884D74862DE2B544DF1993"/>
    <w:rsid w:val="00A255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F04E-023B-488E-B7F1-0CE895D5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RICOVERO “P.TOSO” - CANALE</vt:lpstr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RICOVERO “P.TOSO” - CANALE</dc:title>
  <dc:creator>s.berio</dc:creator>
  <cp:lastModifiedBy>a.marolo</cp:lastModifiedBy>
  <cp:revision>2</cp:revision>
  <cp:lastPrinted>2017-04-04T16:45:00Z</cp:lastPrinted>
  <dcterms:created xsi:type="dcterms:W3CDTF">2017-08-10T14:31:00Z</dcterms:created>
  <dcterms:modified xsi:type="dcterms:W3CDTF">2017-08-10T14:31:00Z</dcterms:modified>
</cp:coreProperties>
</file>